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A47D6" w14:textId="77777777" w:rsidR="008A10FE" w:rsidRPr="00C017BF" w:rsidRDefault="008A10FE" w:rsidP="00852FA9">
      <w:pPr>
        <w:spacing w:after="0" w:line="240" w:lineRule="auto"/>
        <w:contextualSpacing/>
        <w:jc w:val="both"/>
        <w:rPr>
          <w:rFonts w:ascii="Times New Roman" w:hAnsi="Times New Roman" w:cs="Times New Roman"/>
          <w:sz w:val="24"/>
          <w:szCs w:val="24"/>
        </w:rPr>
        <w:sectPr w:rsidR="008A10FE" w:rsidRPr="00C017BF" w:rsidSect="0019503C">
          <w:footerReference w:type="default" r:id="rId7"/>
          <w:headerReference w:type="first" r:id="rId8"/>
          <w:footerReference w:type="first" r:id="rId9"/>
          <w:type w:val="continuous"/>
          <w:pgSz w:w="12240" w:h="15840" w:code="1"/>
          <w:pgMar w:top="3312" w:right="1008" w:bottom="720" w:left="1008" w:header="360" w:footer="720" w:gutter="0"/>
          <w:cols w:space="720"/>
          <w:titlePg/>
          <w:docGrid w:linePitch="360"/>
        </w:sectPr>
      </w:pPr>
      <w:bookmarkStart w:id="0" w:name="_Hlk39041872"/>
      <w:bookmarkStart w:id="1" w:name="_Hlk39041923"/>
    </w:p>
    <w:bookmarkEnd w:id="0"/>
    <w:bookmarkEnd w:id="1"/>
    <w:p w14:paraId="45A83617" w14:textId="77777777" w:rsidR="00681953" w:rsidRPr="00BF3DCA" w:rsidRDefault="00681953" w:rsidP="00681953">
      <w:pPr>
        <w:pStyle w:val="NormalWeb"/>
        <w:shd w:val="clear" w:color="auto" w:fill="FFFFFF"/>
        <w:spacing w:before="0" w:beforeAutospacing="0" w:after="0" w:afterAutospacing="0"/>
        <w:rPr>
          <w:rFonts w:asciiTheme="minorHAnsi" w:hAnsiTheme="minorHAnsi" w:cstheme="minorHAnsi"/>
          <w:sz w:val="22"/>
          <w:szCs w:val="22"/>
        </w:rPr>
      </w:pPr>
      <w:r w:rsidRPr="00BF3DCA">
        <w:rPr>
          <w:rStyle w:val="Strong"/>
          <w:rFonts w:asciiTheme="minorHAnsi" w:hAnsiTheme="minorHAnsi" w:cstheme="minorHAnsi"/>
          <w:color w:val="333333"/>
          <w:sz w:val="22"/>
          <w:szCs w:val="22"/>
        </w:rPr>
        <w:t>Media Contact:</w:t>
      </w:r>
      <w:r w:rsidRPr="00BF3DCA">
        <w:rPr>
          <w:rStyle w:val="Strong"/>
          <w:rFonts w:asciiTheme="minorHAnsi" w:hAnsiTheme="minorHAnsi" w:cstheme="minorHAnsi"/>
          <w:color w:val="333333"/>
          <w:sz w:val="22"/>
          <w:szCs w:val="22"/>
        </w:rPr>
        <w:tab/>
      </w:r>
      <w:r w:rsidRPr="00BF3DCA">
        <w:rPr>
          <w:rStyle w:val="Strong"/>
          <w:rFonts w:asciiTheme="minorHAnsi" w:hAnsiTheme="minorHAnsi" w:cstheme="minorHAnsi"/>
          <w:color w:val="333333"/>
          <w:sz w:val="22"/>
          <w:szCs w:val="22"/>
        </w:rPr>
        <w:tab/>
      </w:r>
      <w:r w:rsidRPr="00E06659">
        <w:rPr>
          <w:rStyle w:val="Strong"/>
          <w:rFonts w:asciiTheme="minorHAnsi" w:hAnsiTheme="minorHAnsi" w:cstheme="minorHAnsi"/>
          <w:b w:val="0"/>
          <w:sz w:val="22"/>
          <w:szCs w:val="22"/>
        </w:rPr>
        <w:t>Commissioner</w:t>
      </w:r>
      <w:r w:rsidRPr="00BF3DCA">
        <w:rPr>
          <w:rFonts w:asciiTheme="minorHAnsi" w:hAnsiTheme="minorHAnsi" w:cstheme="minorHAnsi"/>
          <w:b/>
          <w:sz w:val="22"/>
          <w:szCs w:val="22"/>
        </w:rPr>
        <w:t xml:space="preserve"> </w:t>
      </w:r>
      <w:r w:rsidRPr="00BF3DCA">
        <w:rPr>
          <w:rFonts w:asciiTheme="minorHAnsi" w:hAnsiTheme="minorHAnsi" w:cstheme="minorHAnsi"/>
          <w:sz w:val="22"/>
          <w:szCs w:val="22"/>
        </w:rPr>
        <w:t>John J. Kolhoff</w:t>
      </w:r>
    </w:p>
    <w:p w14:paraId="080FBCA1" w14:textId="77777777" w:rsidR="00681953" w:rsidRPr="00BF3DCA" w:rsidRDefault="00681953" w:rsidP="00681953">
      <w:pPr>
        <w:pStyle w:val="NormalWeb"/>
        <w:shd w:val="clear" w:color="auto" w:fill="FFFFFF"/>
        <w:spacing w:before="0" w:beforeAutospacing="0" w:after="0" w:afterAutospacing="0"/>
        <w:rPr>
          <w:rStyle w:val="Strong"/>
          <w:rFonts w:asciiTheme="minorHAnsi" w:hAnsiTheme="minorHAnsi" w:cstheme="minorHAnsi"/>
          <w:color w:val="333333"/>
          <w:sz w:val="22"/>
          <w:szCs w:val="22"/>
        </w:rPr>
      </w:pPr>
      <w:r w:rsidRPr="00BF3DCA">
        <w:rPr>
          <w:rStyle w:val="Strong"/>
          <w:rFonts w:asciiTheme="minorHAnsi" w:hAnsiTheme="minorHAnsi" w:cstheme="minorHAnsi"/>
          <w:color w:val="333333"/>
          <w:sz w:val="22"/>
          <w:szCs w:val="22"/>
        </w:rPr>
        <w:t>Media:</w:t>
      </w:r>
      <w:r w:rsidRPr="00BF3DCA">
        <w:rPr>
          <w:rStyle w:val="Strong"/>
          <w:rFonts w:asciiTheme="minorHAnsi" w:hAnsiTheme="minorHAnsi" w:cstheme="minorHAnsi"/>
          <w:color w:val="333333"/>
          <w:sz w:val="22"/>
          <w:szCs w:val="22"/>
        </w:rPr>
        <w:tab/>
      </w:r>
      <w:r w:rsidRPr="00BF3DCA">
        <w:rPr>
          <w:rStyle w:val="Strong"/>
          <w:rFonts w:asciiTheme="minorHAnsi" w:hAnsiTheme="minorHAnsi" w:cstheme="minorHAnsi"/>
          <w:color w:val="333333"/>
          <w:sz w:val="22"/>
          <w:szCs w:val="22"/>
        </w:rPr>
        <w:tab/>
      </w:r>
      <w:r w:rsidRPr="00BF3DCA">
        <w:rPr>
          <w:rStyle w:val="Strong"/>
          <w:rFonts w:asciiTheme="minorHAnsi" w:hAnsiTheme="minorHAnsi" w:cstheme="minorHAnsi"/>
          <w:color w:val="333333"/>
          <w:sz w:val="22"/>
          <w:szCs w:val="22"/>
        </w:rPr>
        <w:tab/>
      </w:r>
      <w:r w:rsidRPr="00BF3DCA">
        <w:rPr>
          <w:rFonts w:asciiTheme="minorHAnsi" w:hAnsiTheme="minorHAnsi" w:cstheme="minorHAnsi"/>
          <w:color w:val="333333"/>
          <w:sz w:val="22"/>
          <w:szCs w:val="22"/>
        </w:rPr>
        <w:t>512-837-9236</w:t>
      </w:r>
    </w:p>
    <w:p w14:paraId="5EC42E33" w14:textId="77777777" w:rsidR="00681953" w:rsidRPr="00BF3DCA" w:rsidRDefault="00681953" w:rsidP="00681953">
      <w:pPr>
        <w:pStyle w:val="NormalWeb"/>
        <w:shd w:val="clear" w:color="auto" w:fill="FFFFFF"/>
        <w:spacing w:before="0" w:beforeAutospacing="0" w:after="0" w:afterAutospacing="0"/>
        <w:rPr>
          <w:rStyle w:val="Strong"/>
          <w:rFonts w:asciiTheme="minorHAnsi" w:hAnsiTheme="minorHAnsi" w:cstheme="minorHAnsi"/>
          <w:color w:val="333333"/>
          <w:sz w:val="22"/>
          <w:szCs w:val="22"/>
        </w:rPr>
      </w:pPr>
    </w:p>
    <w:p w14:paraId="272D3FD5" w14:textId="09F18F34" w:rsidR="00681953" w:rsidRPr="00BF3DCA" w:rsidRDefault="00681953" w:rsidP="00681953">
      <w:pPr>
        <w:pStyle w:val="NormalWeb"/>
        <w:shd w:val="clear" w:color="auto" w:fill="FFFFFF"/>
        <w:spacing w:before="0" w:beforeAutospacing="0" w:after="0" w:afterAutospacing="0"/>
        <w:jc w:val="center"/>
        <w:rPr>
          <w:rFonts w:asciiTheme="minorHAnsi" w:hAnsiTheme="minorHAnsi" w:cstheme="minorHAnsi"/>
          <w:color w:val="333333"/>
          <w:sz w:val="22"/>
          <w:szCs w:val="22"/>
        </w:rPr>
      </w:pPr>
      <w:r w:rsidRPr="00BF3DCA">
        <w:rPr>
          <w:rStyle w:val="Strong"/>
          <w:rFonts w:asciiTheme="minorHAnsi" w:hAnsiTheme="minorHAnsi" w:cstheme="minorHAnsi"/>
          <w:color w:val="333333"/>
          <w:sz w:val="22"/>
          <w:szCs w:val="22"/>
        </w:rPr>
        <w:t xml:space="preserve">FOR IMMEDIATE RELEASE:  </w:t>
      </w:r>
      <w:r w:rsidR="000274F7">
        <w:rPr>
          <w:rStyle w:val="Strong"/>
          <w:rFonts w:asciiTheme="minorHAnsi" w:hAnsiTheme="minorHAnsi" w:cstheme="minorHAnsi"/>
          <w:color w:val="333333"/>
          <w:sz w:val="22"/>
          <w:szCs w:val="22"/>
        </w:rPr>
        <w:t>July</w:t>
      </w:r>
      <w:r w:rsidRPr="00BF3DCA">
        <w:rPr>
          <w:rFonts w:asciiTheme="minorHAnsi" w:hAnsiTheme="minorHAnsi" w:cstheme="minorHAnsi"/>
          <w:color w:val="333333"/>
          <w:sz w:val="22"/>
          <w:szCs w:val="22"/>
        </w:rPr>
        <w:t xml:space="preserve"> </w:t>
      </w:r>
      <w:r w:rsidRPr="00EB6270">
        <w:rPr>
          <w:rFonts w:asciiTheme="minorHAnsi" w:hAnsiTheme="minorHAnsi" w:cstheme="minorHAnsi"/>
          <w:b/>
          <w:bCs/>
          <w:color w:val="333333"/>
          <w:sz w:val="22"/>
          <w:szCs w:val="22"/>
        </w:rPr>
        <w:t>2</w:t>
      </w:r>
      <w:r w:rsidR="000274F7" w:rsidRPr="00EB6270">
        <w:rPr>
          <w:rFonts w:asciiTheme="minorHAnsi" w:hAnsiTheme="minorHAnsi" w:cstheme="minorHAnsi"/>
          <w:b/>
          <w:bCs/>
          <w:color w:val="333333"/>
          <w:sz w:val="22"/>
          <w:szCs w:val="22"/>
        </w:rPr>
        <w:t>8</w:t>
      </w:r>
      <w:r w:rsidRPr="00EB6270">
        <w:rPr>
          <w:rFonts w:asciiTheme="minorHAnsi" w:hAnsiTheme="minorHAnsi" w:cstheme="minorHAnsi"/>
          <w:b/>
          <w:bCs/>
          <w:color w:val="333333"/>
          <w:sz w:val="22"/>
          <w:szCs w:val="22"/>
        </w:rPr>
        <w:t>, 2021</w:t>
      </w:r>
    </w:p>
    <w:p w14:paraId="0DF69809" w14:textId="77777777" w:rsidR="00681953" w:rsidRPr="00BF3DCA" w:rsidRDefault="00681953" w:rsidP="00681953">
      <w:pPr>
        <w:pStyle w:val="NormalWeb"/>
        <w:shd w:val="clear" w:color="auto" w:fill="FFFFFF"/>
        <w:spacing w:before="0" w:beforeAutospacing="0" w:after="0" w:afterAutospacing="0"/>
        <w:rPr>
          <w:rFonts w:asciiTheme="minorHAnsi" w:hAnsiTheme="minorHAnsi" w:cstheme="minorHAnsi"/>
          <w:color w:val="333333"/>
          <w:sz w:val="22"/>
          <w:szCs w:val="22"/>
        </w:rPr>
      </w:pPr>
    </w:p>
    <w:p w14:paraId="483359F3" w14:textId="233D689F" w:rsidR="00681953" w:rsidRPr="00BF3DCA" w:rsidRDefault="00681953" w:rsidP="00681953">
      <w:pPr>
        <w:pStyle w:val="NormalWeb"/>
        <w:shd w:val="clear" w:color="auto" w:fill="FFFFFF"/>
        <w:spacing w:before="0" w:beforeAutospacing="0" w:after="0" w:afterAutospacing="0"/>
        <w:jc w:val="both"/>
        <w:rPr>
          <w:rFonts w:asciiTheme="minorHAnsi" w:hAnsiTheme="minorHAnsi" w:cstheme="minorHAnsi"/>
          <w:b/>
          <w:color w:val="333333"/>
          <w:sz w:val="22"/>
          <w:szCs w:val="22"/>
        </w:rPr>
      </w:pPr>
      <w:r w:rsidRPr="00BF3DCA">
        <w:rPr>
          <w:rFonts w:asciiTheme="minorHAnsi" w:hAnsiTheme="minorHAnsi" w:cstheme="minorHAnsi"/>
          <w:b/>
          <w:color w:val="333333"/>
          <w:sz w:val="22"/>
          <w:szCs w:val="22"/>
        </w:rPr>
        <w:t xml:space="preserve">Texas Credit Union Department </w:t>
      </w:r>
      <w:r w:rsidR="00EB6270">
        <w:rPr>
          <w:rFonts w:asciiTheme="minorHAnsi" w:hAnsiTheme="minorHAnsi" w:cstheme="minorHAnsi"/>
          <w:b/>
          <w:color w:val="333333"/>
          <w:sz w:val="22"/>
          <w:szCs w:val="22"/>
        </w:rPr>
        <w:t>Issues Cease and Desist Order on Fake “United Wood</w:t>
      </w:r>
      <w:r w:rsidRPr="00BF3DCA">
        <w:rPr>
          <w:rFonts w:asciiTheme="minorHAnsi" w:hAnsiTheme="minorHAnsi" w:cstheme="minorHAnsi"/>
          <w:b/>
          <w:color w:val="333333"/>
          <w:sz w:val="22"/>
          <w:szCs w:val="22"/>
        </w:rPr>
        <w:t xml:space="preserve"> Credit Union</w:t>
      </w:r>
      <w:r w:rsidR="00EB6270">
        <w:rPr>
          <w:rFonts w:asciiTheme="minorHAnsi" w:hAnsiTheme="minorHAnsi" w:cstheme="minorHAnsi"/>
          <w:b/>
          <w:color w:val="333333"/>
          <w:sz w:val="22"/>
          <w:szCs w:val="22"/>
        </w:rPr>
        <w:t>”</w:t>
      </w:r>
      <w:r w:rsidRPr="00BF3DCA">
        <w:rPr>
          <w:rFonts w:asciiTheme="minorHAnsi" w:hAnsiTheme="minorHAnsi" w:cstheme="minorHAnsi"/>
          <w:b/>
          <w:color w:val="333333"/>
          <w:sz w:val="22"/>
          <w:szCs w:val="22"/>
        </w:rPr>
        <w:t>.</w:t>
      </w:r>
    </w:p>
    <w:p w14:paraId="750EA075" w14:textId="256FF141" w:rsidR="00681953" w:rsidRDefault="00681953" w:rsidP="00681953">
      <w:pPr>
        <w:pStyle w:val="NormalWeb"/>
        <w:shd w:val="clear" w:color="auto" w:fill="FFFFFF"/>
        <w:spacing w:before="0" w:beforeAutospacing="0" w:after="0" w:afterAutospacing="0"/>
        <w:rPr>
          <w:rFonts w:asciiTheme="minorHAnsi" w:hAnsiTheme="minorHAnsi" w:cstheme="minorHAnsi"/>
          <w:b/>
          <w:color w:val="333333"/>
          <w:sz w:val="22"/>
          <w:szCs w:val="22"/>
        </w:rPr>
      </w:pPr>
    </w:p>
    <w:p w14:paraId="033EB7A3" w14:textId="714F36B2" w:rsidR="00EB6270" w:rsidRDefault="00EB6270" w:rsidP="00EB6270">
      <w:pPr>
        <w:pStyle w:val="Default"/>
        <w:jc w:val="both"/>
        <w:rPr>
          <w:sz w:val="22"/>
          <w:szCs w:val="22"/>
        </w:rPr>
      </w:pPr>
      <w:r>
        <w:rPr>
          <w:sz w:val="22"/>
          <w:szCs w:val="22"/>
        </w:rPr>
        <w:t xml:space="preserve">On Wednesday, July 28th, the Texas Credit Union Department Commissioner issued Cease and Desist </w:t>
      </w:r>
      <w:hyperlink r:id="rId10" w:history="1">
        <w:r>
          <w:rPr>
            <w:rStyle w:val="Hyperlink"/>
            <w:b/>
            <w:bCs/>
            <w:sz w:val="22"/>
            <w:szCs w:val="22"/>
          </w:rPr>
          <w:t>Order 21-033-02</w:t>
        </w:r>
      </w:hyperlink>
      <w:r>
        <w:rPr>
          <w:b/>
          <w:bCs/>
          <w:color w:val="0461C1"/>
          <w:sz w:val="22"/>
          <w:szCs w:val="22"/>
        </w:rPr>
        <w:t xml:space="preserve"> </w:t>
      </w:r>
      <w:r>
        <w:rPr>
          <w:sz w:val="22"/>
          <w:szCs w:val="22"/>
        </w:rPr>
        <w:t xml:space="preserve">against an organization portraying itself as “United Wood Credit Union” and advertising online credit products within the State of Texas. </w:t>
      </w:r>
    </w:p>
    <w:p w14:paraId="181793E7" w14:textId="77777777" w:rsidR="00EB6270" w:rsidRDefault="00EB6270" w:rsidP="00EB6270">
      <w:pPr>
        <w:pStyle w:val="Default"/>
        <w:jc w:val="both"/>
        <w:rPr>
          <w:sz w:val="22"/>
          <w:szCs w:val="22"/>
        </w:rPr>
      </w:pPr>
    </w:p>
    <w:p w14:paraId="5B91B46C" w14:textId="77777777" w:rsidR="00EB6270" w:rsidRDefault="00EB6270" w:rsidP="00EB6270">
      <w:pPr>
        <w:pStyle w:val="Default"/>
        <w:jc w:val="both"/>
        <w:rPr>
          <w:sz w:val="22"/>
          <w:szCs w:val="22"/>
        </w:rPr>
      </w:pPr>
      <w:r>
        <w:rPr>
          <w:sz w:val="22"/>
          <w:szCs w:val="22"/>
        </w:rPr>
        <w:t xml:space="preserve">After notification, and based on the Department’s investigation, Commissioner John J. Kolhoff took action to enforce </w:t>
      </w:r>
      <w:hyperlink r:id="rId11" w:anchor="122.003" w:history="1">
        <w:r>
          <w:rPr>
            <w:rStyle w:val="Hyperlink"/>
            <w:b/>
            <w:bCs/>
            <w:sz w:val="22"/>
            <w:szCs w:val="22"/>
          </w:rPr>
          <w:t xml:space="preserve">Section </w:t>
        </w:r>
        <w:r>
          <w:rPr>
            <w:rStyle w:val="Hyperlink"/>
            <w:rFonts w:ascii="Times New Roman" w:hAnsi="Times New Roman" w:cs="Times New Roman"/>
            <w:b/>
            <w:bCs/>
            <w:sz w:val="23"/>
            <w:szCs w:val="23"/>
          </w:rPr>
          <w:t>§</w:t>
        </w:r>
        <w:r>
          <w:rPr>
            <w:rStyle w:val="Hyperlink"/>
            <w:b/>
            <w:bCs/>
            <w:sz w:val="22"/>
            <w:szCs w:val="22"/>
          </w:rPr>
          <w:t>122.003(c) of the Texas Finance Code</w:t>
        </w:r>
      </w:hyperlink>
      <w:r>
        <w:rPr>
          <w:b/>
          <w:bCs/>
          <w:color w:val="0461C1"/>
          <w:sz w:val="22"/>
          <w:szCs w:val="22"/>
        </w:rPr>
        <w:t xml:space="preserve"> </w:t>
      </w:r>
      <w:r>
        <w:rPr>
          <w:sz w:val="22"/>
          <w:szCs w:val="22"/>
        </w:rPr>
        <w:t>which makes it a criminal offense for a non-credit union entity to do business under or use a name containing the term credit union.</w:t>
      </w:r>
    </w:p>
    <w:p w14:paraId="7FC38A38" w14:textId="77777777" w:rsidR="00EB6270" w:rsidRDefault="00EB6270" w:rsidP="00EB6270">
      <w:pPr>
        <w:pStyle w:val="Default"/>
        <w:jc w:val="both"/>
        <w:rPr>
          <w:sz w:val="22"/>
          <w:szCs w:val="22"/>
        </w:rPr>
      </w:pPr>
    </w:p>
    <w:p w14:paraId="0B9A7145" w14:textId="77777777" w:rsidR="00EB6270" w:rsidRDefault="00EB6270" w:rsidP="00EB6270">
      <w:pPr>
        <w:pStyle w:val="Default"/>
        <w:jc w:val="both"/>
        <w:rPr>
          <w:sz w:val="22"/>
          <w:szCs w:val="22"/>
        </w:rPr>
      </w:pPr>
      <w:r>
        <w:rPr>
          <w:sz w:val="22"/>
          <w:szCs w:val="22"/>
        </w:rPr>
        <w:t xml:space="preserve">Under the authority of </w:t>
      </w:r>
      <w:hyperlink r:id="rId12" w:anchor="122.2575" w:history="1">
        <w:r w:rsidRPr="00477117">
          <w:rPr>
            <w:rStyle w:val="Hyperlink"/>
            <w:b/>
            <w:bCs/>
            <w:sz w:val="22"/>
            <w:szCs w:val="22"/>
          </w:rPr>
          <w:t>T</w:t>
        </w:r>
        <w:r>
          <w:rPr>
            <w:rStyle w:val="Hyperlink"/>
            <w:b/>
            <w:bCs/>
            <w:sz w:val="22"/>
            <w:szCs w:val="22"/>
          </w:rPr>
          <w:t>exas Finance Code §122.2575</w:t>
        </w:r>
      </w:hyperlink>
      <w:r>
        <w:rPr>
          <w:b/>
          <w:bCs/>
          <w:color w:val="0461C1"/>
          <w:sz w:val="22"/>
          <w:szCs w:val="22"/>
        </w:rPr>
        <w:t xml:space="preserve"> </w:t>
      </w:r>
      <w:r>
        <w:rPr>
          <w:sz w:val="22"/>
          <w:szCs w:val="22"/>
        </w:rPr>
        <w:t xml:space="preserve">Commissioner Kolhoff ordered the entity portraying itself as “United Wood Credit Union” to cease from any and all unlicensed activity within the state or portraying itself as a chartered financial institution. </w:t>
      </w:r>
    </w:p>
    <w:p w14:paraId="3EF81F56" w14:textId="77777777" w:rsidR="00EB6270" w:rsidRDefault="00EB6270" w:rsidP="00EB6270">
      <w:pPr>
        <w:pStyle w:val="Default"/>
        <w:jc w:val="both"/>
        <w:rPr>
          <w:sz w:val="22"/>
          <w:szCs w:val="22"/>
        </w:rPr>
      </w:pPr>
    </w:p>
    <w:p w14:paraId="0450ACA5" w14:textId="06F234FE" w:rsidR="00EB6270" w:rsidRDefault="00EB6270" w:rsidP="00EB6270">
      <w:pPr>
        <w:pStyle w:val="Default"/>
        <w:jc w:val="both"/>
        <w:rPr>
          <w:sz w:val="22"/>
          <w:szCs w:val="22"/>
        </w:rPr>
      </w:pPr>
      <w:r>
        <w:rPr>
          <w:sz w:val="22"/>
          <w:szCs w:val="22"/>
        </w:rPr>
        <w:t xml:space="preserve">Consumers can ensure they are dealing with a legally chartered credit union by looking up an institution at both of the following links: </w:t>
      </w:r>
      <w:hyperlink r:id="rId13" w:history="1">
        <w:r>
          <w:rPr>
            <w:rStyle w:val="Hyperlink"/>
            <w:b/>
            <w:bCs/>
            <w:sz w:val="22"/>
            <w:szCs w:val="22"/>
          </w:rPr>
          <w:t>National Credit Union Administration Institution Search</w:t>
        </w:r>
      </w:hyperlink>
      <w:r>
        <w:rPr>
          <w:b/>
          <w:bCs/>
          <w:color w:val="0461C1"/>
          <w:sz w:val="22"/>
          <w:szCs w:val="22"/>
        </w:rPr>
        <w:t xml:space="preserve"> </w:t>
      </w:r>
      <w:r>
        <w:rPr>
          <w:sz w:val="22"/>
          <w:szCs w:val="22"/>
        </w:rPr>
        <w:t xml:space="preserve">for federally insured institutions and; </w:t>
      </w:r>
      <w:hyperlink r:id="rId14" w:history="1">
        <w:r>
          <w:rPr>
            <w:rStyle w:val="Hyperlink"/>
            <w:b/>
            <w:bCs/>
            <w:sz w:val="22"/>
            <w:szCs w:val="22"/>
          </w:rPr>
          <w:t>American Share Insurance Financials</w:t>
        </w:r>
      </w:hyperlink>
      <w:r>
        <w:rPr>
          <w:b/>
          <w:bCs/>
          <w:color w:val="0461C1"/>
          <w:sz w:val="22"/>
          <w:szCs w:val="22"/>
        </w:rPr>
        <w:t xml:space="preserve"> </w:t>
      </w:r>
      <w:r>
        <w:rPr>
          <w:sz w:val="22"/>
          <w:szCs w:val="22"/>
        </w:rPr>
        <w:t xml:space="preserve">for privately-insured institutions. </w:t>
      </w:r>
    </w:p>
    <w:p w14:paraId="25FBDE68" w14:textId="77777777" w:rsidR="00EB6270" w:rsidRDefault="00EB6270" w:rsidP="00EB6270">
      <w:pPr>
        <w:pStyle w:val="Default"/>
        <w:jc w:val="both"/>
        <w:rPr>
          <w:sz w:val="22"/>
          <w:szCs w:val="22"/>
        </w:rPr>
      </w:pPr>
    </w:p>
    <w:p w14:paraId="4A8FF28E" w14:textId="60637852" w:rsidR="00EB6270" w:rsidRDefault="00EB6270" w:rsidP="00EB6270">
      <w:pPr>
        <w:pStyle w:val="Default"/>
        <w:jc w:val="both"/>
        <w:rPr>
          <w:sz w:val="22"/>
          <w:szCs w:val="22"/>
        </w:rPr>
      </w:pPr>
      <w:r>
        <w:rPr>
          <w:sz w:val="22"/>
          <w:szCs w:val="22"/>
        </w:rPr>
        <w:t>Any credit union authorized to do business in Texas will be on one of these two websites. The consumer can then utilize the contact information provided on the above websites to contact the institution and confirm the solicitation received is from an authorized institution. An institution shown as “inactive” on the National Credit Union Administration site is no longer an active charter. Consumers can also utilize these websites to review an institution’s quarterly financial statements and review the financial strength of their depository institution. Consumers with additional questions should contact the Department at (512) 837-9236.</w:t>
      </w:r>
      <w:bookmarkStart w:id="2" w:name="_GoBack"/>
      <w:bookmarkEnd w:id="2"/>
    </w:p>
    <w:p w14:paraId="0F5902F6" w14:textId="77777777" w:rsidR="00EB6270" w:rsidRDefault="00EB6270" w:rsidP="00EB6270">
      <w:pPr>
        <w:pStyle w:val="Default"/>
        <w:jc w:val="both"/>
        <w:rPr>
          <w:sz w:val="22"/>
          <w:szCs w:val="22"/>
        </w:rPr>
      </w:pPr>
    </w:p>
    <w:p w14:paraId="64D354E2" w14:textId="77777777" w:rsidR="00EB6270" w:rsidRDefault="00EB6270" w:rsidP="00EB6270">
      <w:pPr>
        <w:pStyle w:val="Default"/>
        <w:jc w:val="both"/>
        <w:rPr>
          <w:sz w:val="22"/>
          <w:szCs w:val="22"/>
        </w:rPr>
      </w:pPr>
      <w:r>
        <w:rPr>
          <w:sz w:val="22"/>
          <w:szCs w:val="22"/>
        </w:rPr>
        <w:t xml:space="preserve">“We will continue efforts to ensure consumers are dealing with reputable, licensed institutions and have the information necessary to protect their financial health,” said Kolhoff. </w:t>
      </w:r>
    </w:p>
    <w:p w14:paraId="1A6C40D0" w14:textId="77777777" w:rsidR="00EB6270" w:rsidRDefault="00EB6270" w:rsidP="00EB6270">
      <w:pPr>
        <w:pStyle w:val="Default"/>
        <w:jc w:val="both"/>
        <w:rPr>
          <w:sz w:val="22"/>
          <w:szCs w:val="22"/>
        </w:rPr>
      </w:pPr>
    </w:p>
    <w:p w14:paraId="45FF35D1" w14:textId="77777777" w:rsidR="00EB6270" w:rsidRDefault="00EB6270" w:rsidP="00EB6270">
      <w:pPr>
        <w:spacing w:after="0" w:line="240" w:lineRule="auto"/>
        <w:jc w:val="both"/>
      </w:pPr>
      <w:r>
        <w:t>The Texas Credit Union Department is the independent state agency created by the Texas Legislature, with oversight provided by the Texas Credit Union Commission, to regulate, charter and supervise Texas state-chartered credit unions.</w:t>
      </w:r>
    </w:p>
    <w:p w14:paraId="52870D26" w14:textId="77777777" w:rsidR="00EB6270" w:rsidRPr="00BF3DCA" w:rsidRDefault="00EB6270" w:rsidP="00681953">
      <w:pPr>
        <w:pStyle w:val="NormalWeb"/>
        <w:shd w:val="clear" w:color="auto" w:fill="FFFFFF"/>
        <w:spacing w:before="0" w:beforeAutospacing="0" w:after="0" w:afterAutospacing="0"/>
        <w:rPr>
          <w:rFonts w:asciiTheme="minorHAnsi" w:hAnsiTheme="minorHAnsi" w:cstheme="minorHAnsi"/>
          <w:b/>
          <w:color w:val="333333"/>
          <w:sz w:val="22"/>
          <w:szCs w:val="22"/>
        </w:rPr>
      </w:pPr>
    </w:p>
    <w:sectPr w:rsidR="00EB6270" w:rsidRPr="00BF3DCA" w:rsidSect="00681953">
      <w:headerReference w:type="default" r:id="rId15"/>
      <w:footerReference w:type="default" r:id="rId16"/>
      <w:type w:val="continuous"/>
      <w:pgSz w:w="12240" w:h="15840" w:code="1"/>
      <w:pgMar w:top="3024" w:right="1152" w:bottom="432" w:left="1152" w:header="720" w:footer="720" w:gutter="0"/>
      <w:paperSrc w:first="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FD9F1" w14:textId="77777777" w:rsidR="00E11691" w:rsidRDefault="00E11691" w:rsidP="009C2666">
      <w:pPr>
        <w:spacing w:after="0" w:line="240" w:lineRule="auto"/>
      </w:pPr>
      <w:r>
        <w:separator/>
      </w:r>
    </w:p>
  </w:endnote>
  <w:endnote w:type="continuationSeparator" w:id="0">
    <w:p w14:paraId="2B4FA1A7" w14:textId="77777777" w:rsidR="00E11691" w:rsidRDefault="00E11691" w:rsidP="009C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B506" w14:textId="77777777" w:rsidR="00BA1A05" w:rsidRPr="00BA1A05" w:rsidRDefault="00BA1A05" w:rsidP="00BA1A05">
    <w:pPr>
      <w:pStyle w:val="Footer"/>
      <w:jc w:val="center"/>
      <w:rPr>
        <w:rFonts w:ascii="Book Antiqua" w:hAnsi="Book Antiqua"/>
        <w:b/>
        <w:sz w:val="18"/>
        <w:szCs w:val="18"/>
      </w:rPr>
    </w:pPr>
    <w:r>
      <w:rPr>
        <w:rFonts w:ascii="Book Antiqua" w:hAnsi="Book Antiqua"/>
        <w:b/>
        <w:sz w:val="18"/>
        <w:szCs w:val="18"/>
      </w:rPr>
      <w:t xml:space="preserve">914 East Anderson Lane </w:t>
    </w:r>
    <w:r>
      <w:rPr>
        <w:rFonts w:ascii="Book Antiqua" w:hAnsi="Book Antiqua"/>
        <w:b/>
        <w:sz w:val="56"/>
      </w:rPr>
      <w:t>.</w:t>
    </w:r>
    <w:r w:rsidRPr="00DB7629">
      <w:rPr>
        <w:rFonts w:ascii="Book Antiqua" w:hAnsi="Book Antiqua"/>
        <w:b/>
        <w:sz w:val="18"/>
        <w:szCs w:val="18"/>
      </w:rPr>
      <w:t xml:space="preserve"> </w:t>
    </w:r>
    <w:r>
      <w:rPr>
        <w:rFonts w:ascii="Book Antiqua" w:hAnsi="Book Antiqua"/>
        <w:b/>
        <w:sz w:val="18"/>
        <w:szCs w:val="18"/>
      </w:rPr>
      <w:t xml:space="preserve">Austin, Texas 78752-1699 </w:t>
    </w:r>
    <w:r>
      <w:rPr>
        <w:rFonts w:ascii="Book Antiqua" w:hAnsi="Book Antiqua"/>
        <w:b/>
        <w:sz w:val="56"/>
      </w:rPr>
      <w:t>.</w:t>
    </w:r>
    <w:r w:rsidRPr="00DB7629">
      <w:rPr>
        <w:rFonts w:ascii="Book Antiqua" w:hAnsi="Book Antiqua"/>
        <w:b/>
        <w:sz w:val="18"/>
        <w:szCs w:val="18"/>
      </w:rPr>
      <w:t xml:space="preserve"> </w:t>
    </w:r>
    <w:r>
      <w:rPr>
        <w:rFonts w:ascii="Book Antiqua" w:hAnsi="Book Antiqua"/>
        <w:b/>
        <w:sz w:val="18"/>
        <w:szCs w:val="18"/>
      </w:rPr>
      <w:t>Telephone (512) 837-9236</w:t>
    </w:r>
    <w:r w:rsidRPr="00DB7629">
      <w:rPr>
        <w:rFonts w:ascii="Book Antiqua" w:hAnsi="Book Antiqua"/>
        <w:b/>
        <w:sz w:val="18"/>
        <w:szCs w:val="18"/>
      </w:rPr>
      <w:t xml:space="preserve"> </w:t>
    </w:r>
    <w:r>
      <w:rPr>
        <w:rFonts w:ascii="Book Antiqua" w:hAnsi="Book Antiqua"/>
        <w:b/>
        <w:sz w:val="56"/>
      </w:rPr>
      <w:t>.</w:t>
    </w:r>
    <w:r w:rsidRPr="00DB7629">
      <w:rPr>
        <w:rFonts w:ascii="Book Antiqua" w:hAnsi="Book Antiqua"/>
        <w:b/>
        <w:sz w:val="18"/>
        <w:szCs w:val="18"/>
      </w:rPr>
      <w:t xml:space="preserve"> </w:t>
    </w:r>
    <w:r>
      <w:rPr>
        <w:rFonts w:ascii="Book Antiqua" w:hAnsi="Book Antiqua"/>
        <w:b/>
        <w:sz w:val="18"/>
        <w:szCs w:val="18"/>
      </w:rPr>
      <w:t>Fax (512) 832-0278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EFA8" w14:textId="77777777" w:rsidR="00DB7629" w:rsidRPr="00DB7629" w:rsidRDefault="00DB7629" w:rsidP="00DB7629">
    <w:pPr>
      <w:pStyle w:val="Footer"/>
      <w:jc w:val="center"/>
      <w:rPr>
        <w:rFonts w:ascii="Book Antiqua" w:hAnsi="Book Antiqua"/>
        <w:b/>
        <w:sz w:val="18"/>
        <w:szCs w:val="18"/>
      </w:rPr>
    </w:pPr>
    <w:r>
      <w:rPr>
        <w:rFonts w:ascii="Book Antiqua" w:hAnsi="Book Antiqua"/>
        <w:b/>
        <w:sz w:val="18"/>
        <w:szCs w:val="18"/>
      </w:rPr>
      <w:t xml:space="preserve">914 East Anderson Lane </w:t>
    </w:r>
    <w:r>
      <w:rPr>
        <w:rFonts w:ascii="Book Antiqua" w:hAnsi="Book Antiqua"/>
        <w:b/>
        <w:sz w:val="56"/>
      </w:rPr>
      <w:t>.</w:t>
    </w:r>
    <w:r w:rsidRPr="00DB7629">
      <w:rPr>
        <w:rFonts w:ascii="Book Antiqua" w:hAnsi="Book Antiqua"/>
        <w:b/>
        <w:sz w:val="18"/>
        <w:szCs w:val="18"/>
      </w:rPr>
      <w:t xml:space="preserve"> </w:t>
    </w:r>
    <w:r>
      <w:rPr>
        <w:rFonts w:ascii="Book Antiqua" w:hAnsi="Book Antiqua"/>
        <w:b/>
        <w:sz w:val="18"/>
        <w:szCs w:val="18"/>
      </w:rPr>
      <w:t xml:space="preserve">Austin, Texas 78752-1699 </w:t>
    </w:r>
    <w:r>
      <w:rPr>
        <w:rFonts w:ascii="Book Antiqua" w:hAnsi="Book Antiqua"/>
        <w:b/>
        <w:sz w:val="56"/>
      </w:rPr>
      <w:t>.</w:t>
    </w:r>
    <w:r w:rsidRPr="00DB7629">
      <w:rPr>
        <w:rFonts w:ascii="Book Antiqua" w:hAnsi="Book Antiqua"/>
        <w:b/>
        <w:sz w:val="18"/>
        <w:szCs w:val="18"/>
      </w:rPr>
      <w:t xml:space="preserve"> </w:t>
    </w:r>
    <w:r>
      <w:rPr>
        <w:rFonts w:ascii="Book Antiqua" w:hAnsi="Book Antiqua"/>
        <w:b/>
        <w:sz w:val="18"/>
        <w:szCs w:val="18"/>
      </w:rPr>
      <w:t>Telephone</w:t>
    </w:r>
    <w:r w:rsidR="000F75AB">
      <w:rPr>
        <w:rFonts w:ascii="Book Antiqua" w:hAnsi="Book Antiqua"/>
        <w:b/>
        <w:sz w:val="18"/>
        <w:szCs w:val="18"/>
      </w:rPr>
      <w:t xml:space="preserve"> </w:t>
    </w:r>
    <w:r>
      <w:rPr>
        <w:rFonts w:ascii="Book Antiqua" w:hAnsi="Book Antiqua"/>
        <w:b/>
        <w:sz w:val="18"/>
        <w:szCs w:val="18"/>
      </w:rPr>
      <w:t>(512) 837-9236</w:t>
    </w:r>
    <w:r w:rsidRPr="00DB7629">
      <w:rPr>
        <w:rFonts w:ascii="Book Antiqua" w:hAnsi="Book Antiqua"/>
        <w:b/>
        <w:sz w:val="18"/>
        <w:szCs w:val="18"/>
      </w:rPr>
      <w:t xml:space="preserve"> </w:t>
    </w:r>
    <w:r>
      <w:rPr>
        <w:rFonts w:ascii="Book Antiqua" w:hAnsi="Book Antiqua"/>
        <w:b/>
        <w:sz w:val="56"/>
      </w:rPr>
      <w:t>.</w:t>
    </w:r>
    <w:r w:rsidRPr="00DB7629">
      <w:rPr>
        <w:rFonts w:ascii="Book Antiqua" w:hAnsi="Book Antiqua"/>
        <w:b/>
        <w:sz w:val="18"/>
        <w:szCs w:val="18"/>
      </w:rPr>
      <w:t xml:space="preserve"> </w:t>
    </w:r>
    <w:r>
      <w:rPr>
        <w:rFonts w:ascii="Book Antiqua" w:hAnsi="Book Antiqua"/>
        <w:b/>
        <w:sz w:val="18"/>
        <w:szCs w:val="18"/>
      </w:rPr>
      <w:t>Fax (512) 832-0278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E25D" w14:textId="77777777" w:rsidR="00400BD8" w:rsidRPr="00DB7629" w:rsidRDefault="00681953" w:rsidP="00400BD8">
    <w:pPr>
      <w:pStyle w:val="Footer"/>
      <w:jc w:val="center"/>
      <w:rPr>
        <w:rFonts w:ascii="Book Antiqua" w:hAnsi="Book Antiqua"/>
        <w:b/>
        <w:sz w:val="18"/>
        <w:szCs w:val="18"/>
      </w:rPr>
    </w:pPr>
    <w:r>
      <w:tab/>
    </w:r>
    <w:r>
      <w:rPr>
        <w:rFonts w:ascii="Book Antiqua" w:hAnsi="Book Antiqua"/>
        <w:b/>
        <w:sz w:val="18"/>
        <w:szCs w:val="18"/>
      </w:rPr>
      <w:t xml:space="preserve">914 East Anderson Lane </w:t>
    </w:r>
    <w:r>
      <w:rPr>
        <w:rFonts w:ascii="Book Antiqua" w:hAnsi="Book Antiqua"/>
        <w:b/>
        <w:sz w:val="56"/>
      </w:rPr>
      <w:t>.</w:t>
    </w:r>
    <w:r w:rsidRPr="00DB7629">
      <w:rPr>
        <w:rFonts w:ascii="Book Antiqua" w:hAnsi="Book Antiqua"/>
        <w:b/>
        <w:sz w:val="18"/>
        <w:szCs w:val="18"/>
      </w:rPr>
      <w:t xml:space="preserve"> </w:t>
    </w:r>
    <w:r>
      <w:rPr>
        <w:rFonts w:ascii="Book Antiqua" w:hAnsi="Book Antiqua"/>
        <w:b/>
        <w:sz w:val="18"/>
        <w:szCs w:val="18"/>
      </w:rPr>
      <w:t xml:space="preserve">Austin, Texas 78752-1699 </w:t>
    </w:r>
    <w:r>
      <w:rPr>
        <w:rFonts w:ascii="Book Antiqua" w:hAnsi="Book Antiqua"/>
        <w:b/>
        <w:sz w:val="56"/>
      </w:rPr>
      <w:t>.</w:t>
    </w:r>
    <w:r w:rsidRPr="00DB7629">
      <w:rPr>
        <w:rFonts w:ascii="Book Antiqua" w:hAnsi="Book Antiqua"/>
        <w:b/>
        <w:sz w:val="18"/>
        <w:szCs w:val="18"/>
      </w:rPr>
      <w:t xml:space="preserve"> </w:t>
    </w:r>
    <w:r>
      <w:rPr>
        <w:rFonts w:ascii="Book Antiqua" w:hAnsi="Book Antiqua"/>
        <w:b/>
        <w:sz w:val="18"/>
        <w:szCs w:val="18"/>
      </w:rPr>
      <w:t>Telephone (512) 837-9236</w:t>
    </w:r>
    <w:r w:rsidRPr="00DB7629">
      <w:rPr>
        <w:rFonts w:ascii="Book Antiqua" w:hAnsi="Book Antiqua"/>
        <w:b/>
        <w:sz w:val="18"/>
        <w:szCs w:val="18"/>
      </w:rPr>
      <w:t xml:space="preserve"> </w:t>
    </w:r>
    <w:r>
      <w:rPr>
        <w:rFonts w:ascii="Book Antiqua" w:hAnsi="Book Antiqua"/>
        <w:b/>
        <w:sz w:val="56"/>
      </w:rPr>
      <w:t>.</w:t>
    </w:r>
    <w:r w:rsidRPr="00DB7629">
      <w:rPr>
        <w:rFonts w:ascii="Book Antiqua" w:hAnsi="Book Antiqua"/>
        <w:b/>
        <w:sz w:val="18"/>
        <w:szCs w:val="18"/>
      </w:rPr>
      <w:t xml:space="preserve"> </w:t>
    </w:r>
    <w:r>
      <w:rPr>
        <w:rFonts w:ascii="Book Antiqua" w:hAnsi="Book Antiqua"/>
        <w:b/>
        <w:sz w:val="18"/>
        <w:szCs w:val="18"/>
      </w:rPr>
      <w:t>Fax (512) 832-0278</w:t>
    </w:r>
  </w:p>
  <w:p w14:paraId="413401F8" w14:textId="77777777" w:rsidR="00400BD8" w:rsidRDefault="0047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62900" w14:textId="77777777" w:rsidR="00E11691" w:rsidRDefault="00E11691" w:rsidP="009C2666">
      <w:pPr>
        <w:spacing w:after="0" w:line="240" w:lineRule="auto"/>
      </w:pPr>
      <w:r>
        <w:separator/>
      </w:r>
    </w:p>
  </w:footnote>
  <w:footnote w:type="continuationSeparator" w:id="0">
    <w:p w14:paraId="435D43AD" w14:textId="77777777" w:rsidR="00E11691" w:rsidRDefault="00E11691" w:rsidP="009C2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7A773" w14:textId="77777777" w:rsidR="006265D7" w:rsidRPr="00883E87" w:rsidRDefault="00883E87">
    <w:pPr>
      <w:pStyle w:val="Header"/>
      <w:rPr>
        <w:sz w:val="6"/>
        <w:szCs w:val="6"/>
      </w:rPr>
    </w:pPr>
    <w:r>
      <w:rPr>
        <w:sz w:val="16"/>
        <w:szCs w:val="16"/>
      </w:rPr>
      <w:ptab w:relativeTo="margin" w:alignment="center" w:leader="none"/>
    </w:r>
    <w:r>
      <w:rPr>
        <w:sz w:val="16"/>
        <w:szCs w:val="16"/>
      </w:rPr>
      <w:ptab w:relativeTo="margin" w:alignment="center" w:leader="none"/>
    </w:r>
    <w:r>
      <w:rPr>
        <w:sz w:val="16"/>
        <w:szCs w:val="16"/>
      </w:rPr>
      <w:ptab w:relativeTo="margin" w:alignment="center" w:leader="hyphen"/>
    </w:r>
    <w:r w:rsidR="002D1B06">
      <w:rPr>
        <w:noProof/>
      </w:rPr>
      <w:drawing>
        <wp:anchor distT="0" distB="0" distL="114300" distR="114300" simplePos="0" relativeHeight="251658240" behindDoc="1" locked="0" layoutInCell="1" allowOverlap="1" wp14:anchorId="28F1DAB4" wp14:editId="615FF9D7">
          <wp:simplePos x="0" y="0"/>
          <wp:positionH relativeFrom="margin">
            <wp:align>center</wp:align>
          </wp:positionH>
          <wp:positionV relativeFrom="page">
            <wp:posOffset>342900</wp:posOffset>
          </wp:positionV>
          <wp:extent cx="868680" cy="850392"/>
          <wp:effectExtent l="0" t="0" r="7620" b="6985"/>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Texas State Seal.png"/>
                  <pic:cNvPicPr/>
                </pic:nvPicPr>
                <pic:blipFill>
                  <a:blip r:embed="rId1">
                    <a:extLst>
                      <a:ext uri="{28A0092B-C50C-407E-A947-70E740481C1C}">
                        <a14:useLocalDpi xmlns:a14="http://schemas.microsoft.com/office/drawing/2010/main" val="0"/>
                      </a:ext>
                    </a:extLst>
                  </a:blip>
                  <a:stretch>
                    <a:fillRect/>
                  </a:stretch>
                </pic:blipFill>
                <pic:spPr>
                  <a:xfrm>
                    <a:off x="0" y="0"/>
                    <a:ext cx="868680" cy="850392"/>
                  </a:xfrm>
                  <a:prstGeom prst="rect">
                    <a:avLst/>
                  </a:prstGeom>
                </pic:spPr>
              </pic:pic>
            </a:graphicData>
          </a:graphic>
          <wp14:sizeRelH relativeFrom="margin">
            <wp14:pctWidth>0</wp14:pctWidth>
          </wp14:sizeRelH>
          <wp14:sizeRelV relativeFrom="margin">
            <wp14:pctHeight>0</wp14:pctHeight>
          </wp14:sizeRelV>
        </wp:anchor>
      </w:drawing>
    </w:r>
  </w:p>
  <w:p w14:paraId="437FB5E7" w14:textId="77777777" w:rsidR="006265D7" w:rsidRPr="006265D7" w:rsidRDefault="006265D7" w:rsidP="00FC54F2">
    <w:pPr>
      <w:pStyle w:val="Header"/>
      <w:jc w:val="center"/>
      <w:rPr>
        <w:rFonts w:ascii="Times New Roman" w:hAnsi="Times New Roman" w:cs="Times New Roman"/>
        <w:sz w:val="40"/>
        <w:szCs w:val="40"/>
      </w:rPr>
    </w:pPr>
    <w:r>
      <w:rPr>
        <w:rFonts w:ascii="Times New Roman" w:hAnsi="Times New Roman" w:cs="Times New Roman"/>
        <w:sz w:val="40"/>
        <w:szCs w:val="40"/>
      </w:rPr>
      <w:t>CREDIT UNION DEPARTMENT</w:t>
    </w:r>
  </w:p>
  <w:p w14:paraId="15723191" w14:textId="77777777" w:rsidR="002D1B06" w:rsidRPr="00FC54F2" w:rsidRDefault="00FC54F2" w:rsidP="006E2257">
    <w:pPr>
      <w:pStyle w:val="Header"/>
      <w:tabs>
        <w:tab w:val="clear" w:pos="4680"/>
        <w:tab w:val="clear" w:pos="9360"/>
        <w:tab w:val="left" w:pos="8280"/>
      </w:tabs>
      <w:rPr>
        <w:rFonts w:ascii="Book Antiqua" w:hAnsi="Book Antiqua"/>
        <w:b/>
        <w:sz w:val="18"/>
        <w:szCs w:val="18"/>
      </w:rPr>
    </w:pPr>
    <w:r w:rsidRPr="00FC54F2">
      <w:rPr>
        <w:rFonts w:ascii="Book Antiqua" w:hAnsi="Book Antiqua"/>
        <w:b/>
        <w:sz w:val="18"/>
        <w:szCs w:val="18"/>
      </w:rPr>
      <w:t xml:space="preserve">John J. </w:t>
    </w:r>
    <w:r>
      <w:rPr>
        <w:rFonts w:ascii="Book Antiqua" w:hAnsi="Book Antiqua"/>
        <w:b/>
        <w:sz w:val="18"/>
        <w:szCs w:val="18"/>
      </w:rPr>
      <w:t>Kolhoff</w:t>
    </w:r>
    <w:r>
      <w:rPr>
        <w:rFonts w:ascii="Book Antiqua" w:hAnsi="Book Antiqua"/>
        <w:b/>
        <w:sz w:val="18"/>
        <w:szCs w:val="18"/>
      </w:rPr>
      <w:tab/>
    </w:r>
    <w:r w:rsidR="002D1B06">
      <w:rPr>
        <w:rFonts w:ascii="Book Antiqua" w:hAnsi="Book Antiqua"/>
        <w:b/>
        <w:sz w:val="18"/>
        <w:szCs w:val="18"/>
      </w:rPr>
      <w:t xml:space="preserve"> Robert W. Etheridge</w:t>
    </w:r>
  </w:p>
  <w:p w14:paraId="58E44890" w14:textId="77777777" w:rsidR="006265D7" w:rsidRPr="00FC54F2" w:rsidRDefault="002D1B06" w:rsidP="002D1B06">
    <w:pPr>
      <w:pStyle w:val="Header"/>
      <w:tabs>
        <w:tab w:val="clear" w:pos="4680"/>
        <w:tab w:val="clear" w:pos="9360"/>
        <w:tab w:val="right" w:pos="10350"/>
      </w:tabs>
      <w:rPr>
        <w:rFonts w:ascii="Book Antiqua" w:hAnsi="Book Antiqua"/>
        <w:b/>
        <w:sz w:val="18"/>
        <w:szCs w:val="18"/>
      </w:rPr>
    </w:pPr>
    <w:r>
      <w:rPr>
        <w:rFonts w:ascii="Book Antiqua" w:hAnsi="Book Antiqua"/>
        <w:b/>
        <w:sz w:val="18"/>
        <w:szCs w:val="18"/>
      </w:rPr>
      <w:t>Commissioner</w:t>
    </w:r>
    <w:r>
      <w:rPr>
        <w:rFonts w:ascii="Book Antiqua" w:hAnsi="Book Antiqua"/>
        <w:b/>
        <w:sz w:val="18"/>
        <w:szCs w:val="18"/>
      </w:rPr>
      <w:tab/>
      <w:t xml:space="preserve">Deputy </w:t>
    </w:r>
    <w:r w:rsidR="00E878A8">
      <w:rPr>
        <w:rFonts w:ascii="Book Antiqua" w:hAnsi="Book Antiqua"/>
        <w:b/>
        <w:sz w:val="18"/>
        <w:szCs w:val="18"/>
      </w:rPr>
      <w:t>Commissioner</w:t>
    </w:r>
  </w:p>
  <w:p w14:paraId="48C0A1B1" w14:textId="77777777" w:rsidR="009C2666" w:rsidRPr="00E556B9" w:rsidRDefault="009C2666">
    <w:pPr>
      <w:pStyle w:val="Header"/>
      <w:rPr>
        <w:rFonts w:ascii="Book Antiqua" w:hAnsi="Book Antiqua"/>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D11D" w14:textId="77777777" w:rsidR="00873F5E" w:rsidRPr="00883E87" w:rsidRDefault="00681953" w:rsidP="00873F5E">
    <w:pPr>
      <w:pStyle w:val="Header"/>
      <w:rPr>
        <w:sz w:val="6"/>
        <w:szCs w:val="6"/>
      </w:rPr>
    </w:pPr>
    <w:r>
      <w:rPr>
        <w:sz w:val="16"/>
        <w:szCs w:val="16"/>
      </w:rPr>
      <w:ptab w:relativeTo="margin" w:alignment="center" w:leader="none"/>
    </w:r>
    <w:r>
      <w:rPr>
        <w:sz w:val="16"/>
        <w:szCs w:val="16"/>
      </w:rPr>
      <w:ptab w:relativeTo="margin" w:alignment="center" w:leader="none"/>
    </w:r>
    <w:r>
      <w:rPr>
        <w:sz w:val="16"/>
        <w:szCs w:val="16"/>
      </w:rPr>
      <w:ptab w:relativeTo="margin" w:alignment="center" w:leader="hyphen"/>
    </w:r>
    <w:r>
      <w:rPr>
        <w:noProof/>
      </w:rPr>
      <w:drawing>
        <wp:anchor distT="0" distB="0" distL="114300" distR="114300" simplePos="0" relativeHeight="251662336" behindDoc="1" locked="0" layoutInCell="1" allowOverlap="1" wp14:anchorId="4064EB38" wp14:editId="7AA08FD8">
          <wp:simplePos x="0" y="0"/>
          <wp:positionH relativeFrom="margin">
            <wp:align>center</wp:align>
          </wp:positionH>
          <wp:positionV relativeFrom="page">
            <wp:posOffset>342900</wp:posOffset>
          </wp:positionV>
          <wp:extent cx="868680" cy="850392"/>
          <wp:effectExtent l="0" t="0" r="7620" b="6985"/>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Texas State Seal.png"/>
                  <pic:cNvPicPr/>
                </pic:nvPicPr>
                <pic:blipFill>
                  <a:blip r:embed="rId1">
                    <a:extLst>
                      <a:ext uri="{28A0092B-C50C-407E-A947-70E740481C1C}">
                        <a14:useLocalDpi xmlns:a14="http://schemas.microsoft.com/office/drawing/2010/main" val="0"/>
                      </a:ext>
                    </a:extLst>
                  </a:blip>
                  <a:stretch>
                    <a:fillRect/>
                  </a:stretch>
                </pic:blipFill>
                <pic:spPr>
                  <a:xfrm>
                    <a:off x="0" y="0"/>
                    <a:ext cx="868680" cy="850392"/>
                  </a:xfrm>
                  <a:prstGeom prst="rect">
                    <a:avLst/>
                  </a:prstGeom>
                </pic:spPr>
              </pic:pic>
            </a:graphicData>
          </a:graphic>
          <wp14:sizeRelH relativeFrom="margin">
            <wp14:pctWidth>0</wp14:pctWidth>
          </wp14:sizeRelH>
          <wp14:sizeRelV relativeFrom="margin">
            <wp14:pctHeight>0</wp14:pctHeight>
          </wp14:sizeRelV>
        </wp:anchor>
      </w:drawing>
    </w:r>
  </w:p>
  <w:p w14:paraId="3E60F557" w14:textId="77777777" w:rsidR="00873F5E" w:rsidRPr="006265D7" w:rsidRDefault="00681953" w:rsidP="00873F5E">
    <w:pPr>
      <w:pStyle w:val="Header"/>
      <w:jc w:val="center"/>
      <w:rPr>
        <w:rFonts w:ascii="Times New Roman" w:hAnsi="Times New Roman" w:cs="Times New Roman"/>
        <w:sz w:val="40"/>
        <w:szCs w:val="40"/>
      </w:rPr>
    </w:pPr>
    <w:r>
      <w:rPr>
        <w:rFonts w:ascii="Times New Roman" w:hAnsi="Times New Roman" w:cs="Times New Roman"/>
        <w:sz w:val="40"/>
        <w:szCs w:val="40"/>
      </w:rPr>
      <w:t>CREDIT UNION DEPARTMENT</w:t>
    </w:r>
  </w:p>
  <w:p w14:paraId="28B0E01A" w14:textId="77777777" w:rsidR="00873F5E" w:rsidRPr="00FC54F2" w:rsidRDefault="00681953" w:rsidP="00873F5E">
    <w:pPr>
      <w:pStyle w:val="Header"/>
      <w:tabs>
        <w:tab w:val="clear" w:pos="4680"/>
        <w:tab w:val="clear" w:pos="9360"/>
        <w:tab w:val="left" w:pos="8280"/>
      </w:tabs>
      <w:rPr>
        <w:rFonts w:ascii="Book Antiqua" w:hAnsi="Book Antiqua"/>
        <w:b/>
        <w:sz w:val="18"/>
        <w:szCs w:val="18"/>
      </w:rPr>
    </w:pPr>
    <w:r w:rsidRPr="00FC54F2">
      <w:rPr>
        <w:rFonts w:ascii="Book Antiqua" w:hAnsi="Book Antiqua"/>
        <w:b/>
        <w:sz w:val="18"/>
        <w:szCs w:val="18"/>
      </w:rPr>
      <w:t xml:space="preserve">John J. </w:t>
    </w:r>
    <w:r>
      <w:rPr>
        <w:rFonts w:ascii="Book Antiqua" w:hAnsi="Book Antiqua"/>
        <w:b/>
        <w:sz w:val="18"/>
        <w:szCs w:val="18"/>
      </w:rPr>
      <w:t>Kolhoff</w:t>
    </w:r>
    <w:r>
      <w:rPr>
        <w:rFonts w:ascii="Book Antiqua" w:hAnsi="Book Antiqua"/>
        <w:b/>
        <w:sz w:val="18"/>
        <w:szCs w:val="18"/>
      </w:rPr>
      <w:tab/>
      <w:t xml:space="preserve"> Robert W. Etheridge</w:t>
    </w:r>
  </w:p>
  <w:p w14:paraId="24920297" w14:textId="77777777" w:rsidR="00873F5E" w:rsidRPr="00FC54F2" w:rsidRDefault="00681953" w:rsidP="00873F5E">
    <w:pPr>
      <w:pStyle w:val="Header"/>
      <w:tabs>
        <w:tab w:val="clear" w:pos="4680"/>
        <w:tab w:val="clear" w:pos="9360"/>
        <w:tab w:val="right" w:pos="10350"/>
      </w:tabs>
      <w:rPr>
        <w:rFonts w:ascii="Book Antiqua" w:hAnsi="Book Antiqua"/>
        <w:b/>
        <w:sz w:val="18"/>
        <w:szCs w:val="18"/>
      </w:rPr>
    </w:pPr>
    <w:r>
      <w:rPr>
        <w:rFonts w:ascii="Book Antiqua" w:hAnsi="Book Antiqua"/>
        <w:b/>
        <w:sz w:val="18"/>
        <w:szCs w:val="18"/>
      </w:rPr>
      <w:t>Commissioner</w:t>
    </w:r>
    <w:r>
      <w:rPr>
        <w:rFonts w:ascii="Book Antiqua" w:hAnsi="Book Antiqua"/>
        <w:b/>
        <w:sz w:val="18"/>
        <w:szCs w:val="18"/>
      </w:rPr>
      <w:tab/>
      <w:t>Deputy Commissioner</w:t>
    </w:r>
  </w:p>
  <w:p w14:paraId="107A16BA" w14:textId="77777777" w:rsidR="00873F5E" w:rsidRDefault="00477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D6"/>
    <w:rsid w:val="00004878"/>
    <w:rsid w:val="000101CA"/>
    <w:rsid w:val="00011C05"/>
    <w:rsid w:val="00011D0E"/>
    <w:rsid w:val="00015251"/>
    <w:rsid w:val="00017D4F"/>
    <w:rsid w:val="00024570"/>
    <w:rsid w:val="000268BE"/>
    <w:rsid w:val="000274BD"/>
    <w:rsid w:val="000274F7"/>
    <w:rsid w:val="00035EF2"/>
    <w:rsid w:val="00036CEC"/>
    <w:rsid w:val="000431DD"/>
    <w:rsid w:val="0005228C"/>
    <w:rsid w:val="00053963"/>
    <w:rsid w:val="00064B89"/>
    <w:rsid w:val="00067716"/>
    <w:rsid w:val="000823BF"/>
    <w:rsid w:val="000A48AA"/>
    <w:rsid w:val="000B1106"/>
    <w:rsid w:val="000C1961"/>
    <w:rsid w:val="000C39B0"/>
    <w:rsid w:val="000C3C65"/>
    <w:rsid w:val="000C6C9C"/>
    <w:rsid w:val="000C717B"/>
    <w:rsid w:val="000D14AC"/>
    <w:rsid w:val="000D1EA4"/>
    <w:rsid w:val="000D3EA7"/>
    <w:rsid w:val="000F44CB"/>
    <w:rsid w:val="000F75AB"/>
    <w:rsid w:val="00104BD4"/>
    <w:rsid w:val="001117FC"/>
    <w:rsid w:val="00112388"/>
    <w:rsid w:val="00114BC7"/>
    <w:rsid w:val="00121D3E"/>
    <w:rsid w:val="00137267"/>
    <w:rsid w:val="00142D1D"/>
    <w:rsid w:val="00144F59"/>
    <w:rsid w:val="001757B1"/>
    <w:rsid w:val="00176583"/>
    <w:rsid w:val="00180359"/>
    <w:rsid w:val="0018334F"/>
    <w:rsid w:val="0019503C"/>
    <w:rsid w:val="001B5B85"/>
    <w:rsid w:val="001C16BD"/>
    <w:rsid w:val="001C4622"/>
    <w:rsid w:val="001E07C0"/>
    <w:rsid w:val="00203ED4"/>
    <w:rsid w:val="002079EB"/>
    <w:rsid w:val="00211A4F"/>
    <w:rsid w:val="002206F3"/>
    <w:rsid w:val="00233710"/>
    <w:rsid w:val="00237884"/>
    <w:rsid w:val="00247141"/>
    <w:rsid w:val="00250D81"/>
    <w:rsid w:val="00255BF4"/>
    <w:rsid w:val="00263A1A"/>
    <w:rsid w:val="002762FD"/>
    <w:rsid w:val="002766FE"/>
    <w:rsid w:val="00282275"/>
    <w:rsid w:val="0028301D"/>
    <w:rsid w:val="0029522F"/>
    <w:rsid w:val="002A73E6"/>
    <w:rsid w:val="002B58D6"/>
    <w:rsid w:val="002C4D16"/>
    <w:rsid w:val="002D0B23"/>
    <w:rsid w:val="002D1B06"/>
    <w:rsid w:val="002D606D"/>
    <w:rsid w:val="002F6450"/>
    <w:rsid w:val="002F6A41"/>
    <w:rsid w:val="003018F1"/>
    <w:rsid w:val="00302B2D"/>
    <w:rsid w:val="0031128A"/>
    <w:rsid w:val="0032011C"/>
    <w:rsid w:val="003277AE"/>
    <w:rsid w:val="00340088"/>
    <w:rsid w:val="00345E2F"/>
    <w:rsid w:val="00360DBA"/>
    <w:rsid w:val="0037138B"/>
    <w:rsid w:val="00377CA7"/>
    <w:rsid w:val="003810F1"/>
    <w:rsid w:val="00383B64"/>
    <w:rsid w:val="0038520E"/>
    <w:rsid w:val="00385CBF"/>
    <w:rsid w:val="00385CCA"/>
    <w:rsid w:val="0038648A"/>
    <w:rsid w:val="0039199F"/>
    <w:rsid w:val="003B7312"/>
    <w:rsid w:val="003C54CB"/>
    <w:rsid w:val="003E13A5"/>
    <w:rsid w:val="003E62B4"/>
    <w:rsid w:val="003F0D44"/>
    <w:rsid w:val="003F546B"/>
    <w:rsid w:val="004069B4"/>
    <w:rsid w:val="00407AAD"/>
    <w:rsid w:val="00431A69"/>
    <w:rsid w:val="0046026B"/>
    <w:rsid w:val="0046041D"/>
    <w:rsid w:val="00460A9C"/>
    <w:rsid w:val="0047152C"/>
    <w:rsid w:val="00477117"/>
    <w:rsid w:val="004830A8"/>
    <w:rsid w:val="00486110"/>
    <w:rsid w:val="00490DDF"/>
    <w:rsid w:val="00493D4E"/>
    <w:rsid w:val="00494436"/>
    <w:rsid w:val="00494C95"/>
    <w:rsid w:val="004B1EC7"/>
    <w:rsid w:val="004B62DF"/>
    <w:rsid w:val="004E05D9"/>
    <w:rsid w:val="004F1B72"/>
    <w:rsid w:val="004F27DD"/>
    <w:rsid w:val="004F7C7D"/>
    <w:rsid w:val="00523F6A"/>
    <w:rsid w:val="00530925"/>
    <w:rsid w:val="00532372"/>
    <w:rsid w:val="005323BB"/>
    <w:rsid w:val="00547A5D"/>
    <w:rsid w:val="00547FC5"/>
    <w:rsid w:val="00557B7E"/>
    <w:rsid w:val="0057305E"/>
    <w:rsid w:val="00573722"/>
    <w:rsid w:val="00581193"/>
    <w:rsid w:val="0058295A"/>
    <w:rsid w:val="00590668"/>
    <w:rsid w:val="005B16A7"/>
    <w:rsid w:val="005B661E"/>
    <w:rsid w:val="005C0159"/>
    <w:rsid w:val="005D04C2"/>
    <w:rsid w:val="005D5376"/>
    <w:rsid w:val="005F392B"/>
    <w:rsid w:val="006049E9"/>
    <w:rsid w:val="006265D7"/>
    <w:rsid w:val="00630DF6"/>
    <w:rsid w:val="0063308E"/>
    <w:rsid w:val="00633C62"/>
    <w:rsid w:val="00634F82"/>
    <w:rsid w:val="00641D1D"/>
    <w:rsid w:val="00653983"/>
    <w:rsid w:val="00661D0A"/>
    <w:rsid w:val="00666861"/>
    <w:rsid w:val="00681761"/>
    <w:rsid w:val="00681953"/>
    <w:rsid w:val="00683813"/>
    <w:rsid w:val="006A0EF5"/>
    <w:rsid w:val="006A6F6D"/>
    <w:rsid w:val="006E2257"/>
    <w:rsid w:val="006E2C80"/>
    <w:rsid w:val="006F22D6"/>
    <w:rsid w:val="00701106"/>
    <w:rsid w:val="00704342"/>
    <w:rsid w:val="007220B5"/>
    <w:rsid w:val="00725D78"/>
    <w:rsid w:val="0073471B"/>
    <w:rsid w:val="00741F33"/>
    <w:rsid w:val="007504F4"/>
    <w:rsid w:val="00762276"/>
    <w:rsid w:val="00767088"/>
    <w:rsid w:val="00786F4F"/>
    <w:rsid w:val="007A7145"/>
    <w:rsid w:val="007C2DD1"/>
    <w:rsid w:val="007C56A8"/>
    <w:rsid w:val="007C74AA"/>
    <w:rsid w:val="007E0D1D"/>
    <w:rsid w:val="007E2AC5"/>
    <w:rsid w:val="007F1540"/>
    <w:rsid w:val="007F2CB7"/>
    <w:rsid w:val="007F570B"/>
    <w:rsid w:val="007F5FA1"/>
    <w:rsid w:val="007F6E48"/>
    <w:rsid w:val="00805D1B"/>
    <w:rsid w:val="00817EB9"/>
    <w:rsid w:val="0082306B"/>
    <w:rsid w:val="0084530D"/>
    <w:rsid w:val="00852FA9"/>
    <w:rsid w:val="00861F04"/>
    <w:rsid w:val="00866563"/>
    <w:rsid w:val="00873C03"/>
    <w:rsid w:val="00874B8D"/>
    <w:rsid w:val="00883BF8"/>
    <w:rsid w:val="00883E87"/>
    <w:rsid w:val="008853EB"/>
    <w:rsid w:val="00885A4F"/>
    <w:rsid w:val="00893C5A"/>
    <w:rsid w:val="008941A7"/>
    <w:rsid w:val="008A10FE"/>
    <w:rsid w:val="008C42B9"/>
    <w:rsid w:val="008D6BD0"/>
    <w:rsid w:val="008E3F1A"/>
    <w:rsid w:val="008F47E5"/>
    <w:rsid w:val="009001EC"/>
    <w:rsid w:val="00916570"/>
    <w:rsid w:val="00935D13"/>
    <w:rsid w:val="00942475"/>
    <w:rsid w:val="00942D49"/>
    <w:rsid w:val="00945F58"/>
    <w:rsid w:val="00950F66"/>
    <w:rsid w:val="00961CD2"/>
    <w:rsid w:val="00983AAB"/>
    <w:rsid w:val="0099218E"/>
    <w:rsid w:val="009B125D"/>
    <w:rsid w:val="009B2BD8"/>
    <w:rsid w:val="009C1A7F"/>
    <w:rsid w:val="009C2666"/>
    <w:rsid w:val="009C3897"/>
    <w:rsid w:val="009D0DEA"/>
    <w:rsid w:val="009D751A"/>
    <w:rsid w:val="009D7604"/>
    <w:rsid w:val="009E0E91"/>
    <w:rsid w:val="009E439B"/>
    <w:rsid w:val="009E6F44"/>
    <w:rsid w:val="009F1AC3"/>
    <w:rsid w:val="00A010DA"/>
    <w:rsid w:val="00A076AF"/>
    <w:rsid w:val="00A144C8"/>
    <w:rsid w:val="00A372E7"/>
    <w:rsid w:val="00A52256"/>
    <w:rsid w:val="00A53217"/>
    <w:rsid w:val="00A965DA"/>
    <w:rsid w:val="00AB61A9"/>
    <w:rsid w:val="00AC078F"/>
    <w:rsid w:val="00AC37FD"/>
    <w:rsid w:val="00AD3623"/>
    <w:rsid w:val="00AD6BD7"/>
    <w:rsid w:val="00AD704F"/>
    <w:rsid w:val="00AE3E74"/>
    <w:rsid w:val="00AE7063"/>
    <w:rsid w:val="00B02ECC"/>
    <w:rsid w:val="00B06FAF"/>
    <w:rsid w:val="00B27907"/>
    <w:rsid w:val="00B3140E"/>
    <w:rsid w:val="00B416C2"/>
    <w:rsid w:val="00B7065A"/>
    <w:rsid w:val="00B71E28"/>
    <w:rsid w:val="00BA1A05"/>
    <w:rsid w:val="00BA67D0"/>
    <w:rsid w:val="00BB3CA9"/>
    <w:rsid w:val="00BB4B19"/>
    <w:rsid w:val="00BB5118"/>
    <w:rsid w:val="00BC4124"/>
    <w:rsid w:val="00BD41B4"/>
    <w:rsid w:val="00BD7377"/>
    <w:rsid w:val="00BE021D"/>
    <w:rsid w:val="00BE2257"/>
    <w:rsid w:val="00BE4CA8"/>
    <w:rsid w:val="00BE4DAC"/>
    <w:rsid w:val="00C0177C"/>
    <w:rsid w:val="00C017BF"/>
    <w:rsid w:val="00C11708"/>
    <w:rsid w:val="00C20FC2"/>
    <w:rsid w:val="00C21B91"/>
    <w:rsid w:val="00C24DBC"/>
    <w:rsid w:val="00C26367"/>
    <w:rsid w:val="00C4099E"/>
    <w:rsid w:val="00C529F7"/>
    <w:rsid w:val="00C54374"/>
    <w:rsid w:val="00C75D02"/>
    <w:rsid w:val="00C86914"/>
    <w:rsid w:val="00C94196"/>
    <w:rsid w:val="00C948D9"/>
    <w:rsid w:val="00CA1250"/>
    <w:rsid w:val="00CA5F08"/>
    <w:rsid w:val="00CB4CD6"/>
    <w:rsid w:val="00CB629F"/>
    <w:rsid w:val="00CB6837"/>
    <w:rsid w:val="00CD3C4F"/>
    <w:rsid w:val="00CF3503"/>
    <w:rsid w:val="00D23A48"/>
    <w:rsid w:val="00D27BC7"/>
    <w:rsid w:val="00D3149B"/>
    <w:rsid w:val="00D36E1E"/>
    <w:rsid w:val="00D428C3"/>
    <w:rsid w:val="00D60122"/>
    <w:rsid w:val="00D62ACB"/>
    <w:rsid w:val="00D675A9"/>
    <w:rsid w:val="00D72DF2"/>
    <w:rsid w:val="00D731E5"/>
    <w:rsid w:val="00D83F34"/>
    <w:rsid w:val="00D84C91"/>
    <w:rsid w:val="00D956E6"/>
    <w:rsid w:val="00DA05AD"/>
    <w:rsid w:val="00DA2F82"/>
    <w:rsid w:val="00DA7109"/>
    <w:rsid w:val="00DB7629"/>
    <w:rsid w:val="00DC1C29"/>
    <w:rsid w:val="00DD6020"/>
    <w:rsid w:val="00DF3861"/>
    <w:rsid w:val="00DF73BE"/>
    <w:rsid w:val="00E05A44"/>
    <w:rsid w:val="00E06659"/>
    <w:rsid w:val="00E11691"/>
    <w:rsid w:val="00E164D3"/>
    <w:rsid w:val="00E179C2"/>
    <w:rsid w:val="00E22C6C"/>
    <w:rsid w:val="00E429DB"/>
    <w:rsid w:val="00E556B9"/>
    <w:rsid w:val="00E66F96"/>
    <w:rsid w:val="00E714DD"/>
    <w:rsid w:val="00E8140B"/>
    <w:rsid w:val="00E878A8"/>
    <w:rsid w:val="00E95724"/>
    <w:rsid w:val="00EA4F41"/>
    <w:rsid w:val="00EB6270"/>
    <w:rsid w:val="00EB7BC6"/>
    <w:rsid w:val="00EC62FB"/>
    <w:rsid w:val="00ED5B65"/>
    <w:rsid w:val="00EE029B"/>
    <w:rsid w:val="00EE4E17"/>
    <w:rsid w:val="00EF70A6"/>
    <w:rsid w:val="00F10B0B"/>
    <w:rsid w:val="00F4466D"/>
    <w:rsid w:val="00F5195E"/>
    <w:rsid w:val="00F57B3D"/>
    <w:rsid w:val="00F6295D"/>
    <w:rsid w:val="00F76A65"/>
    <w:rsid w:val="00F82791"/>
    <w:rsid w:val="00F86829"/>
    <w:rsid w:val="00FA2531"/>
    <w:rsid w:val="00FA4065"/>
    <w:rsid w:val="00FA5AD5"/>
    <w:rsid w:val="00FC0504"/>
    <w:rsid w:val="00FC54F2"/>
    <w:rsid w:val="00FD3795"/>
    <w:rsid w:val="00FD5380"/>
    <w:rsid w:val="00FE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4B57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66"/>
  </w:style>
  <w:style w:type="paragraph" w:styleId="Footer">
    <w:name w:val="footer"/>
    <w:basedOn w:val="Normal"/>
    <w:link w:val="FooterChar"/>
    <w:uiPriority w:val="99"/>
    <w:unhideWhenUsed/>
    <w:rsid w:val="009C2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666"/>
  </w:style>
  <w:style w:type="paragraph" w:styleId="NoSpacing">
    <w:name w:val="No Spacing"/>
    <w:uiPriority w:val="1"/>
    <w:qFormat/>
    <w:rsid w:val="009001EC"/>
    <w:pPr>
      <w:spacing w:after="0" w:line="240" w:lineRule="auto"/>
    </w:pPr>
  </w:style>
  <w:style w:type="character" w:styleId="Hyperlink">
    <w:name w:val="Hyperlink"/>
    <w:basedOn w:val="DefaultParagraphFont"/>
    <w:uiPriority w:val="99"/>
    <w:unhideWhenUsed/>
    <w:rsid w:val="0029522F"/>
    <w:rPr>
      <w:color w:val="0563C1" w:themeColor="hyperlink"/>
      <w:u w:val="single"/>
    </w:rPr>
  </w:style>
  <w:style w:type="character" w:styleId="UnresolvedMention">
    <w:name w:val="Unresolved Mention"/>
    <w:basedOn w:val="DefaultParagraphFont"/>
    <w:uiPriority w:val="99"/>
    <w:semiHidden/>
    <w:unhideWhenUsed/>
    <w:rsid w:val="003810F1"/>
    <w:rPr>
      <w:color w:val="605E5C"/>
      <w:shd w:val="clear" w:color="auto" w:fill="E1DFDD"/>
    </w:rPr>
  </w:style>
  <w:style w:type="paragraph" w:styleId="BalloonText">
    <w:name w:val="Balloon Text"/>
    <w:basedOn w:val="Normal"/>
    <w:link w:val="BalloonTextChar"/>
    <w:uiPriority w:val="99"/>
    <w:semiHidden/>
    <w:unhideWhenUsed/>
    <w:rsid w:val="0038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0F1"/>
    <w:rPr>
      <w:rFonts w:ascii="Segoe UI" w:hAnsi="Segoe UI" w:cs="Segoe UI"/>
      <w:sz w:val="18"/>
      <w:szCs w:val="18"/>
    </w:rPr>
  </w:style>
  <w:style w:type="paragraph" w:styleId="NormalWeb">
    <w:name w:val="Normal (Web)"/>
    <w:basedOn w:val="Normal"/>
    <w:uiPriority w:val="99"/>
    <w:unhideWhenUsed/>
    <w:rsid w:val="009921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953"/>
    <w:rPr>
      <w:b/>
      <w:bCs/>
    </w:rPr>
  </w:style>
  <w:style w:type="character" w:styleId="FollowedHyperlink">
    <w:name w:val="FollowedHyperlink"/>
    <w:basedOn w:val="DefaultParagraphFont"/>
    <w:uiPriority w:val="99"/>
    <w:semiHidden/>
    <w:unhideWhenUsed/>
    <w:rsid w:val="00681953"/>
    <w:rPr>
      <w:color w:val="954F72" w:themeColor="followedHyperlink"/>
      <w:u w:val="single"/>
    </w:rPr>
  </w:style>
  <w:style w:type="paragraph" w:customStyle="1" w:styleId="Default">
    <w:name w:val="Default"/>
    <w:basedOn w:val="Normal"/>
    <w:rsid w:val="00EB6270"/>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1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pping.ncua.gov/ResearchCreditUnion.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statutes.capitol.texas.gov/Docs/FI/htm/FI.122.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atutes.capitol.texas.gov/Docs/FI/htm/FI.122.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ud.texas.gov/wp-content/uploads/2019/09/United_Wood_Credit_Union_-_CD.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mapping.ncua.gov/ResearchCreditUn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bienkowski.tx\My%20Documents\Custom%20Office%20Templates\Letterhead%20Kolhoff%20(3-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F6CC-44C4-4A19-A2E0-99D126D8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Kolhoff (3-2019)</Template>
  <TotalTime>0</TotalTime>
  <Pages>1</Pages>
  <Words>461</Words>
  <Characters>2332</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2021-07-28T15:38:00Z</dcterms:created>
  <dcterms:modified xsi:type="dcterms:W3CDTF">2021-07-28T15:46:00Z</dcterms:modified>
</cp:coreProperties>
</file>